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408"/>
          <w:tab w:val="left" w:pos="5529" w:leader="none"/>
        </w:tabs>
        <w:spacing w:lineRule="auto" w:line="276"/>
        <w:jc w:val="both"/>
        <w:rPr>
          <w:rFonts w:ascii="Tahoma" w:hAnsi="Tahoma" w:cs="Tahoma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408"/>
          <w:tab w:val="left" w:pos="5529" w:leader="none"/>
        </w:tabs>
        <w:spacing w:lineRule="auto" w:line="276"/>
        <w:jc w:val="both"/>
        <w:rPr>
          <w:rFonts w:ascii="Tahoma" w:hAnsi="Tahoma" w:cs="Tahoma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408"/>
          <w:tab w:val="left" w:pos="5529" w:leader="none"/>
        </w:tabs>
        <w:spacing w:lineRule="auto" w:line="276"/>
        <w:jc w:val="both"/>
        <w:rPr>
          <w:rFonts w:ascii="Tahoma" w:hAnsi="Tahoma" w:cs="Tahoma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408"/>
          <w:tab w:val="left" w:pos="5529" w:leader="none"/>
        </w:tabs>
        <w:spacing w:lineRule="auto" w:line="276"/>
        <w:jc w:val="both"/>
        <w:rPr>
          <w:rFonts w:ascii="Tahoma" w:hAnsi="Tahoma" w:cs="Tahoma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408"/>
          <w:tab w:val="left" w:pos="5529" w:leader="none"/>
        </w:tabs>
        <w:spacing w:lineRule="auto" w:line="276"/>
        <w:jc w:val="both"/>
        <w:rPr>
          <w:rFonts w:ascii="Tahoma" w:hAnsi="Tahoma" w:cs="Tahoma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408"/>
          <w:tab w:val="left" w:pos="5529" w:leader="none"/>
        </w:tabs>
        <w:spacing w:lineRule="auto" w:line="276"/>
        <w:jc w:val="both"/>
        <w:rPr>
          <w:rFonts w:ascii="Tahoma" w:hAnsi="Tahoma" w:cs="Tahoma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408"/>
          <w:tab w:val="left" w:pos="5529" w:leader="none"/>
        </w:tabs>
        <w:spacing w:lineRule="auto" w:line="276"/>
        <w:jc w:val="both"/>
        <w:rPr>
          <w:rFonts w:ascii="Tahoma" w:hAnsi="Tahoma" w:cs="Tahoma"/>
          <w:b w:val="false"/>
          <w:b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408"/>
          <w:tab w:val="left" w:pos="5529" w:leader="none"/>
        </w:tabs>
        <w:spacing w:lineRule="auto" w:line="276"/>
        <w:jc w:val="both"/>
        <w:rPr>
          <w:rFonts w:ascii="Tahoma" w:hAnsi="Tahoma" w:cs="Tahoma"/>
          <w:b w:val="false"/>
          <w:bCs w:val="false"/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color w:val="221F1F"/>
          <w:sz w:val="16"/>
          <w:szCs w:val="16"/>
          <w:highlight w:val="white"/>
          <w:lang w:val="it-IT" w:eastAsia="zh-CN" w:bidi="hi-IN"/>
        </w:rPr>
        <w:t>I</w:t>
      </w:r>
      <w:r>
        <w:rPr>
          <w:rFonts w:cs="Arial" w:ascii="Arial" w:hAnsi="Arial"/>
          <w:b w:val="false"/>
          <w:bCs w:val="false"/>
          <w:color w:val="221F1F"/>
          <w:sz w:val="16"/>
          <w:szCs w:val="16"/>
          <w:highlight w:val="white"/>
          <w:lang w:val="it-IT" w:eastAsia="zh-CN" w:bidi="hi-IN"/>
        </w:rPr>
        <w:t xml:space="preserve"> suoi dati </w:t>
      </w:r>
      <w:r>
        <w:rPr>
          <w:rFonts w:eastAsia="Noto Sans CJK SC" w:cs="Arial" w:ascii="Arial" w:hAnsi="Arial"/>
          <w:b w:val="false"/>
          <w:bCs w:val="false"/>
          <w:color w:val="221F1F"/>
          <w:sz w:val="16"/>
          <w:szCs w:val="16"/>
          <w:highlight w:val="white"/>
          <w:lang w:val="it-IT" w:eastAsia="zh-CN" w:bidi="hi-IN"/>
        </w:rPr>
        <w:t>sono importanti ed intendiamo tutelarli con la massima cura e nel rispetto del Regolamento UE n. 2016/679 (di seguito “GDPR”). Pertanto, Le forniamo le informazioni che seguono e che Le consentiranno di conoscere il modo in cui trattiamo i Suoi dati. Per questo La invitiamo a leggere attentamente e a non esitare nel chiedere informazioni a noi o al nostro responsabile della protezione dei dati ai recapiti che abbiamo indicato</w:t>
      </w:r>
    </w:p>
    <w:p>
      <w:pPr>
        <w:pStyle w:val="Normal"/>
        <w:tabs>
          <w:tab w:val="clear" w:pos="408"/>
          <w:tab w:val="left" w:pos="5529" w:leader="none"/>
        </w:tabs>
        <w:jc w:val="center"/>
        <w:rPr>
          <w:rFonts w:ascii="Tahoma" w:hAnsi="Tahoma" w:cs="Tahoma"/>
          <w:b/>
          <w:sz w:val="14"/>
          <w:szCs w:val="14"/>
        </w:rPr>
      </w:pPr>
      <w:r>
        <w:rPr>
          <w:rFonts w:cs="Tahoma" w:ascii="Tahoma" w:hAnsi="Tahoma"/>
          <w:b/>
          <w:sz w:val="14"/>
          <w:szCs w:val="14"/>
        </w:rPr>
      </w:r>
    </w:p>
    <w:tbl>
      <w:tblPr>
        <w:tblW w:w="11795" w:type="dxa"/>
        <w:jc w:val="left"/>
        <w:tblInd w:w="-435" w:type="dxa"/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2665"/>
        <w:gridCol w:w="3232"/>
        <w:gridCol w:w="5897"/>
      </w:tblGrid>
      <w:tr>
        <w:trPr/>
        <w:tc>
          <w:tcPr>
            <w:tcW w:w="11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16"/>
                <w:szCs w:val="16"/>
                <w:lang w:val="it-IT" w:eastAsia="zh-CN" w:bidi="ar-SA"/>
              </w:rPr>
              <w:t xml:space="preserve">Titolare del trattamento e dati di contatto per l’esercizio dei diritti: </w:t>
            </w:r>
            <w:r>
              <w:rPr>
                <w:rStyle w:val="CollegamentoInternet"/>
                <w:rFonts w:eastAsia="Arial" w:cs="Calibri" w:ascii="Arial" w:hAnsi="Arial" w:cstheme="minorHAnsi" w:eastAsiaTheme="minorEastAsia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highlight w:val="white"/>
                <w:u w:val="none"/>
                <w:em w:val="none"/>
                <w:lang w:val="it-IT" w:eastAsia="zh-CN" w:bidi="hi-IN"/>
              </w:rPr>
              <w:t>Comune di Bisceglie – Comando di Polizia Locale, Piazza San Francesco 4 76011 Bisceglie - Tel. 0803366602 – Fax. 0803957797 - PEC: comandantepm@cert.comune.bisceglie.bt.it - Email: segreteria.pm@comune.bisceglie.bt.it</w:t>
            </w:r>
          </w:p>
        </w:tc>
      </w:tr>
      <w:tr>
        <w:trPr/>
        <w:tc>
          <w:tcPr>
            <w:tcW w:w="1179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Responsabile per la Protezione dei Dati Personali: </w:t>
            </w:r>
            <w:r>
              <w:rPr>
                <w:rStyle w:val="CollegamentoInternet"/>
                <w:rFonts w:eastAsia="Noto Sans CJK SC Regular" w:cs="Arial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16"/>
                <w:szCs w:val="16"/>
                <w:highlight w:val="white"/>
                <w:u w:val="none"/>
                <w:lang w:val="it-IT" w:eastAsia="it-IT" w:bidi="hi-IN"/>
              </w:rPr>
              <w:t>ISFORM&amp;Consulting, Via Guido Dorso 75 – 70125 – Bari - email dpo@comune.bisceglie.bt.it. Persona fisica di riferimento: Giuseppe Diretto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Finalità del trattamento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Style w:val="CollegamentoInternet"/>
                <w:rFonts w:cs="Calibri"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16"/>
                <w:szCs w:val="16"/>
                <w:highlight w:val="white"/>
                <w:u w:val="none"/>
              </w:rPr>
              <w:t xml:space="preserve">Tutelare la sicurezza stradale e del patrimonio ambientale e culturale in particolari zone della città conformemente a quanto previsto dall’art. 7, comma 9 del </w:t>
            </w:r>
            <w:r>
              <w:rPr>
                <w:rStyle w:val="CollegamentoInternet"/>
                <w:rFonts w:cs="Calibri"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16"/>
                <w:szCs w:val="16"/>
                <w:u w:val="none"/>
              </w:rPr>
              <w:t>D.Lgs. 285/1992 (Codice della Strada, d’ora in poi CdS)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16"/>
                <w:szCs w:val="16"/>
                <w:lang w:val="it-IT" w:eastAsia="zh-CN" w:bidi="ar-SA"/>
              </w:rPr>
              <w:t>B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ase giuridica del trattamento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Style w:val="CollegamentoInternet"/>
                <w:rFonts w:cs="Calibri"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16"/>
                <w:szCs w:val="16"/>
                <w:highlight w:val="white"/>
                <w:u w:val="none"/>
              </w:rPr>
              <w:t>I dati personali sono trattati senza il consenso degli interessati giacché il loro trattamento è consentito per scopi di interesse pubblico previsto dall’art. 7, comma 9 del CdS</w:t>
            </w:r>
            <w:r>
              <w:rPr>
                <w:rStyle w:val="CollegamentoInternet"/>
                <w:rFonts w:cs="Calibri"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16"/>
                <w:szCs w:val="16"/>
                <w:u w:val="none"/>
              </w:rPr>
              <w:t>.</w:t>
            </w:r>
          </w:p>
          <w:p>
            <w:pPr>
              <w:pStyle w:val="Contenutotabella"/>
              <w:widowControl w:val="false"/>
              <w:jc w:val="both"/>
              <w:rPr/>
            </w:pPr>
            <w:r>
              <w:rPr>
                <w:rStyle w:val="CollegamentoInternet"/>
                <w:rFonts w:cs="Calibri"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16"/>
                <w:szCs w:val="16"/>
                <w:highlight w:val="white"/>
                <w:u w:val="none"/>
              </w:rPr>
              <w:t>La base giuridica è, quindi, l'interesse pubblico così come previsto dall'art. 6, par. 1, lettera e) del Reg. UE 2016/679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 w:eastAsia="Times New Roman" w:cs="Arial"/>
                <w:b/>
                <w:bCs/>
                <w:color w:val="auto"/>
                <w:sz w:val="16"/>
                <w:szCs w:val="16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16"/>
                <w:szCs w:val="16"/>
                <w:lang w:val="it-IT" w:eastAsia="zh-CN" w:bidi="ar-SA"/>
              </w:rPr>
              <w:t>Dati personali trattati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 w:cs="Calibri"/>
                <w:b w:val="false"/>
                <w:bCs w:val="false"/>
                <w:i w:val="false"/>
                <w:i w:val="false"/>
                <w:strike w:val="false"/>
                <w:dstrike w:val="false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Style w:val="CollegamentoInternet"/>
                <w:rFonts w:cs="Calibri"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16"/>
                <w:szCs w:val="16"/>
                <w:u w:val="none"/>
              </w:rPr>
              <w:t>Fotografie in cui sono presenti i veicoli e le relative targhe oltre al contesto di transito dai varchi ZTL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 w:eastAsia="Times New Roman" w:cs="Arial"/>
                <w:b/>
                <w:bCs/>
                <w:color w:val="auto"/>
                <w:sz w:val="16"/>
                <w:szCs w:val="16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16"/>
                <w:szCs w:val="16"/>
                <w:lang w:val="it-IT" w:eastAsia="zh-CN" w:bidi="ar-SA"/>
              </w:rPr>
              <w:t>Modalità del trattamento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Style w:val="CollegamentoInternet"/>
                <w:rFonts w:cs="Calibri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16"/>
                <w:szCs w:val="16"/>
                <w:u w:val="none"/>
                <w:shd w:fill="auto" w:val="clear"/>
              </w:rPr>
              <w:t>Il trattamento è esclusivamente digitale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16"/>
                <w:szCs w:val="16"/>
                <w:lang w:val="it-IT" w:eastAsia="zh-CN" w:bidi="ar-SA"/>
              </w:rPr>
              <w:t>Destinatari dei dati personali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 w:cs="Calibri"/>
                <w:b w:val="false"/>
                <w:bCs w:val="false"/>
                <w:i w:val="false"/>
                <w:i w:val="false"/>
                <w:strike w:val="false"/>
                <w:dstrike w:val="false"/>
                <w:color w:val="auto"/>
                <w:sz w:val="16"/>
                <w:szCs w:val="16"/>
                <w:highlight w:val="white"/>
                <w:u w:val="none"/>
              </w:rPr>
            </w:pPr>
            <w:r>
              <w:rPr>
                <w:rStyle w:val="CollegamentoInternet"/>
                <w:rFonts w:cs="Calibri"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16"/>
                <w:szCs w:val="16"/>
                <w:highlight w:val="white"/>
                <w:u w:val="none"/>
              </w:rPr>
              <w:t>I dati personali vengono comunicati all’autorità giudiziaria, alla Prefettura o ad altri soggetti coinvolti dall’ordinamento nel procedimento di applicazione di sanzioni penali o amministrative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Periodo di conservazione dei dati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jc w:val="both"/>
              <w:rPr/>
            </w:pPr>
            <w:r>
              <w:rPr>
                <w:rStyle w:val="CollegamentoInternet"/>
                <w:rFonts w:cs="Calibri"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16"/>
                <w:szCs w:val="16"/>
                <w:highlight w:val="white"/>
                <w:u w:val="none"/>
              </w:rPr>
              <w:t>La conservazione è limitata a sette giorni dalla registrazione.</w:t>
            </w:r>
          </w:p>
          <w:p>
            <w:pPr>
              <w:pStyle w:val="Contenutotabella"/>
              <w:widowControl w:val="false"/>
              <w:jc w:val="both"/>
              <w:rPr/>
            </w:pPr>
            <w:r>
              <w:rPr>
                <w:rStyle w:val="CollegamentoInternet"/>
                <w:rFonts w:cs="Calibri"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16"/>
                <w:szCs w:val="16"/>
                <w:highlight w:val="white"/>
                <w:u w:val="none"/>
              </w:rPr>
              <w:t>Sono conservate per un periodo superiore ai sette giorni solo le fotografie, opportunamente private di dati personali di terzi estranei alla fattispecie illecita (p.e. oscuramento dei volti o di altre informazioni), che costituiscono:</w:t>
            </w:r>
          </w:p>
          <w:p>
            <w:pPr>
              <w:pStyle w:val="Contenutotabella"/>
              <w:widowControl w:val="false"/>
              <w:numPr>
                <w:ilvl w:val="0"/>
                <w:numId w:val="2"/>
              </w:numPr>
              <w:jc w:val="both"/>
              <w:rPr/>
            </w:pPr>
            <w:r>
              <w:rPr>
                <w:rStyle w:val="CollegamentoInternet"/>
                <w:rFonts w:cs="Calibri"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16"/>
                <w:szCs w:val="16"/>
                <w:highlight w:val="white"/>
                <w:u w:val="none"/>
              </w:rPr>
              <w:t>prove di illecito amministrativo, secondo l’apprezzamento della Polizia Locale nella sua funzione di polizia amministrativa prevista dalla L.R. Puglia n. 37 del 14/12/2011; in questi casi la conservazione è prolungata fino alla definizione della procedura sanzionatoria ovvero per la durata dell’eventuale contenzioso fatte salve le previsioni del D.Lgs. 42/2004 (Codice dei Beni Culturali);</w:t>
            </w:r>
          </w:p>
          <w:p>
            <w:pPr>
              <w:pStyle w:val="Contenutotabella"/>
              <w:widowControl w:val="false"/>
              <w:numPr>
                <w:ilvl w:val="0"/>
                <w:numId w:val="2"/>
              </w:numPr>
              <w:jc w:val="both"/>
              <w:rPr/>
            </w:pPr>
            <w:r>
              <w:rPr>
                <w:rStyle w:val="CollegamentoInternet"/>
                <w:rFonts w:cs="Calibri" w:ascii="Arial" w:hAnsi="Arial"/>
                <w:b w:val="false"/>
                <w:bCs w:val="false"/>
                <w:i w:val="false"/>
                <w:strike w:val="false"/>
                <w:dstrike w:val="false"/>
                <w:color w:val="auto"/>
                <w:sz w:val="16"/>
                <w:szCs w:val="16"/>
                <w:highlight w:val="white"/>
                <w:u w:val="none"/>
              </w:rPr>
              <w:t>elementi probatori per l’accertamento ed il perseguimento di reati, secondo l’apprezzamento dell’Autorità Giudiziaria; in questi casi, la conservazione avviene secondo le indicazioni dell’autorità giudiziaria, e comunque, sono apprestate le garanzie previste dal codice di procedura penale nonché dal D.P.R. 15/2018.</w:t>
            </w:r>
          </w:p>
        </w:tc>
      </w:tr>
      <w:tr>
        <w:trPr/>
        <w:tc>
          <w:tcPr>
            <w:tcW w:w="1179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jc w:val="both"/>
              <w:rPr>
                <w:rFonts w:ascii="Arial" w:hAnsi="Arial" w:eastAsia="Times New Roman" w:cs="Arial"/>
                <w:b/>
                <w:bCs/>
                <w:color w:val="auto"/>
                <w:sz w:val="16"/>
                <w:szCs w:val="16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16"/>
                <w:szCs w:val="16"/>
                <w:lang w:val="it-IT" w:eastAsia="zh-CN" w:bidi="ar-SA"/>
              </w:rPr>
              <w:t>Diritti degli interessati</w:t>
            </w:r>
          </w:p>
        </w:tc>
      </w:tr>
      <w:tr>
        <w:trPr/>
        <w:tc>
          <w:tcPr>
            <w:tcW w:w="589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tbl>
            <w:tblPr>
              <w:tblW w:w="5806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noHBand="0" w:noVBand="1" w:firstColumn="1" w:lastRow="0" w:lastColumn="0" w:firstRow="1"/>
            </w:tblPr>
            <w:tblGrid>
              <w:gridCol w:w="2903"/>
              <w:gridCol w:w="2902"/>
            </w:tblGrid>
            <w:tr>
              <w:trPr/>
              <w:tc>
                <w:tcPr>
                  <w:tcW w:w="29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keepNext w:val="true"/>
                    <w:widowControl w:val="false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auto"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9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auto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>
              <w:trPr>
                <w:trHeight w:val="493" w:hRule="atLeast"/>
              </w:trPr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keepNext w:val="true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b w:val="false"/>
                      <w:bCs w:val="false"/>
                      <w:color w:val="auto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290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Art. 15</w:t>
                  </w:r>
                </w:p>
              </w:tc>
            </w:tr>
            <w:tr>
              <w:trPr>
                <w:trHeight w:val="458" w:hRule="atLeast"/>
              </w:trPr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b w:val="false"/>
                      <w:bCs w:val="false"/>
                      <w:color w:val="auto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290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Art. 16</w:t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rFonts w:ascii="Arial" w:hAnsi="Arial" w:eastAsia="Times New Roman" w:cs="Arial"/>
                      <w:b w:val="false"/>
                      <w:bCs w:val="false"/>
                      <w:color w:val="auto"/>
                      <w:sz w:val="16"/>
                      <w:szCs w:val="16"/>
                      <w:lang w:val="it-IT" w:eastAsia="zh-CN" w:bidi="ar-SA"/>
                    </w:rPr>
                  </w:pPr>
                  <w:r>
                    <w:rPr>
                      <w:rFonts w:eastAsia="Times New Roman" w:cs="Arial" w:ascii="Arial" w:hAnsi="Arial"/>
                      <w:b w:val="false"/>
                      <w:bCs w:val="false"/>
                      <w:color w:val="auto"/>
                      <w:sz w:val="16"/>
                      <w:szCs w:val="16"/>
                      <w:lang w:val="it-IT" w:eastAsia="zh-CN" w:bidi="ar-SA"/>
                    </w:rPr>
                    <w:t>Cancellazione</w:t>
                  </w:r>
                </w:p>
              </w:tc>
              <w:tc>
                <w:tcPr>
                  <w:tcW w:w="290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Art. 17</w:t>
                  </w:r>
                </w:p>
              </w:tc>
            </w:tr>
            <w:tr>
              <w:trPr>
                <w:trHeight w:val="449" w:hRule="atLeast"/>
              </w:trPr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b w:val="false"/>
                      <w:bCs w:val="false"/>
                      <w:color w:val="auto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290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Art. 18</w:t>
                  </w:r>
                </w:p>
              </w:tc>
            </w:tr>
          </w:tbl>
          <w:p>
            <w:pPr>
              <w:pStyle w:val="Contenutotabella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5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tbl>
            <w:tblPr>
              <w:tblW w:w="5807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noHBand="0" w:noVBand="1" w:firstColumn="1" w:lastRow="0" w:lastColumn="0" w:firstRow="1"/>
            </w:tblPr>
            <w:tblGrid>
              <w:gridCol w:w="2903"/>
              <w:gridCol w:w="2903"/>
            </w:tblGrid>
            <w:tr>
              <w:trPr/>
              <w:tc>
                <w:tcPr>
                  <w:tcW w:w="29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keepNext w:val="true"/>
                    <w:widowControl w:val="false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auto"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9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auto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>
              <w:trPr/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b w:val="false"/>
                      <w:bCs w:val="false"/>
                      <w:color w:val="auto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Art. 21</w:t>
                  </w:r>
                </w:p>
              </w:tc>
            </w:tr>
            <w:tr>
              <w:trPr>
                <w:trHeight w:val="688" w:hRule="atLeast"/>
              </w:trPr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Art. 34</w:t>
                  </w:r>
                </w:p>
              </w:tc>
            </w:tr>
            <w:tr>
              <w:trPr>
                <w:trHeight w:val="688" w:hRule="atLeast"/>
              </w:trPr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>
                    <w:rPr>
                      <w:rFonts w:eastAsia="Times New Roman" w:cs="Arial" w:ascii="Arial" w:hAnsi="Arial"/>
                      <w:color w:val="auto"/>
                      <w:sz w:val="16"/>
                      <w:szCs w:val="16"/>
                      <w:lang w:val="it-IT" w:eastAsia="zh-CN" w:bidi="ar-SA"/>
                    </w:rPr>
                    <w:t>protocollo</w:t>
                  </w: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@gpdp.it - 06696771</w:t>
                  </w:r>
                </w:p>
              </w:tc>
              <w:tc>
                <w:tcPr>
                  <w:tcW w:w="29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jc w:val="both"/>
                    <w:rPr>
                      <w:color w:val="auto"/>
                    </w:rPr>
                  </w:pPr>
                  <w:r>
                    <w:rPr>
                      <w:rFonts w:cs="Arial" w:ascii="Arial" w:hAnsi="Arial"/>
                      <w:color w:val="auto"/>
                      <w:sz w:val="16"/>
                      <w:szCs w:val="16"/>
                    </w:rPr>
                    <w:t>Art. 77</w:t>
                  </w:r>
                </w:p>
              </w:tc>
            </w:tr>
          </w:tbl>
          <w:p>
            <w:pPr>
              <w:pStyle w:val="Contenutotabella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179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keepNext w:val="true"/>
              <w:widowControl w:val="false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16"/>
                <w:szCs w:val="16"/>
                <w:lang w:val="it-IT" w:eastAsia="zh-CN" w:bidi="ar-SA"/>
              </w:rPr>
              <w:t>Il GDPR, oltre ai predetti diritti, ribadisce la facoltà dell’interessato, prevista ordinariamente dalla normativa italiana, di proporre ricorso all’autorità giudiziaria competente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jc w:val="both"/>
              <w:rPr>
                <w:color w:val="auto"/>
              </w:rPr>
            </w:pPr>
            <w:r>
              <w:rPr>
                <w:rFonts w:cs="Arial" w:ascii="Arial" w:hAnsi="Arial"/>
                <w:b/>
                <w:bCs/>
                <w:color w:val="auto"/>
                <w:sz w:val="16"/>
                <w:szCs w:val="16"/>
              </w:rPr>
              <w:t>Processo decisionale automatizzato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keepNext w:val="true"/>
              <w:widowControl w:val="false"/>
              <w:jc w:val="both"/>
              <w:rPr>
                <w:rFonts w:ascii="Arial" w:hAnsi="Arial" w:eastAsia="Times New Roman" w:cs="Arial"/>
                <w:b w:val="false"/>
                <w:bCs w:val="false"/>
                <w:color w:val="auto"/>
                <w:sz w:val="16"/>
                <w:szCs w:val="16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16"/>
                <w:szCs w:val="16"/>
                <w:lang w:val="it-IT" w:eastAsia="zh-CN" w:bidi="ar-SA"/>
              </w:rPr>
              <w:t>Il trattamento non prevede alcun processo decisionale automatizzato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jc w:val="both"/>
              <w:rPr>
                <w:color w:val="auto"/>
              </w:rPr>
            </w:pPr>
            <w:r>
              <w:rPr>
                <w:rFonts w:cs="Arial" w:ascii="Arial" w:hAnsi="Arial"/>
                <w:b/>
                <w:bCs/>
                <w:color w:val="auto"/>
                <w:sz w:val="16"/>
                <w:szCs w:val="16"/>
              </w:rPr>
              <w:t>Trasferimenti dei dati a paesi extra UE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keepNext w:val="true"/>
              <w:widowControl w:val="false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16"/>
                <w:szCs w:val="16"/>
                <w:lang w:val="it-IT" w:eastAsia="zh-CN" w:bidi="ar-SA"/>
              </w:rPr>
              <w:t>Il trattamento non prevede alcun trasferimento verso paesi esteri</w:t>
            </w:r>
          </w:p>
        </w:tc>
      </w:tr>
      <w:tr>
        <w:trPr/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jc w:val="both"/>
              <w:rPr>
                <w:color w:val="auto"/>
              </w:rPr>
            </w:pPr>
            <w:r>
              <w:rPr>
                <w:rFonts w:cs="Arial" w:ascii="Arial" w:hAnsi="Arial"/>
                <w:b/>
                <w:bCs/>
                <w:color w:val="auto"/>
                <w:sz w:val="16"/>
                <w:szCs w:val="16"/>
              </w:rPr>
              <w:t>Profilazione dell’interessato</w:t>
            </w:r>
          </w:p>
        </w:tc>
        <w:tc>
          <w:tcPr>
            <w:tcW w:w="9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keepNext w:val="true"/>
              <w:widowControl w:val="false"/>
              <w:jc w:val="both"/>
              <w:rPr>
                <w:rFonts w:ascii="Arial" w:hAnsi="Arial" w:eastAsia="Times New Roman" w:cs="Arial"/>
                <w:b w:val="false"/>
                <w:bCs w:val="false"/>
                <w:color w:val="auto"/>
                <w:sz w:val="16"/>
                <w:szCs w:val="16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16"/>
                <w:szCs w:val="16"/>
                <w:lang w:val="it-IT" w:eastAsia="zh-CN" w:bidi="ar-SA"/>
              </w:rPr>
              <w:t>Il trattamento non prevede la profilazione dell’interessato né alcuna altra attività volta a prevederne i comportamenti futuri</w:t>
            </w:r>
          </w:p>
        </w:tc>
      </w:tr>
    </w:tbl>
    <w:p>
      <w:pPr>
        <w:pStyle w:val="Normal"/>
        <w:tabs>
          <w:tab w:val="clear" w:pos="408"/>
          <w:tab w:val="left" w:pos="1620" w:leader="none"/>
        </w:tabs>
        <w:spacing w:lineRule="auto" w:line="36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tabs>
          <w:tab w:val="clear" w:pos="408"/>
          <w:tab w:val="left" w:pos="1620" w:leader="none"/>
        </w:tabs>
        <w:spacing w:lineRule="auto" w:line="36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tabs>
          <w:tab w:val="clear" w:pos="408"/>
          <w:tab w:val="left" w:pos="1620" w:leader="none"/>
        </w:tabs>
        <w:spacing w:lineRule="auto" w:line="360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1076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6233"/>
        <w:gridCol w:w="4534"/>
      </w:tblGrid>
      <w:tr>
        <w:trPr/>
        <w:tc>
          <w:tcPr>
            <w:tcW w:w="6233" w:type="dxa"/>
            <w:tcBorders/>
            <w:shd w:color="auto" w:fill="auto" w:val="clear"/>
          </w:tcPr>
          <w:p>
            <w:pPr>
              <w:pStyle w:val="Contenutotabella"/>
              <w:widowControl w:val="false"/>
              <w:rPr/>
            </w:pPr>
            <w:r>
              <w:rPr>
                <w:rFonts w:eastAsia="Noto Sans CJK SC" w:cs="Lohit Devanagari" w:ascii="Arial" w:hAnsi="Arial"/>
                <w:color w:val="auto"/>
                <w:kern w:val="2"/>
                <w:sz w:val="16"/>
                <w:szCs w:val="16"/>
                <w:lang w:val="it-IT" w:eastAsia="zh-CN" w:bidi="hi-IN"/>
              </w:rPr>
              <w:t>Bisceglie</w:t>
            </w:r>
            <w:r>
              <w:rPr>
                <w:rFonts w:eastAsia="Times New Roman" w:cs="Times New Roman" w:ascii="Arial" w:hAnsi="Arial"/>
                <w:color w:val="auto"/>
                <w:sz w:val="16"/>
                <w:szCs w:val="16"/>
                <w:lang w:val="it-IT" w:eastAsia="zh-CN" w:bidi="ar-SA"/>
              </w:rPr>
              <w:t xml:space="preserve">, 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16"/>
                <w:szCs w:val="16"/>
                <w:lang w:val="it-IT" w:eastAsia="zh-CN" w:bidi="ar-SA"/>
              </w:rPr>
              <w:t>5/6/2024</w:t>
            </w:r>
          </w:p>
        </w:tc>
        <w:tc>
          <w:tcPr>
            <w:tcW w:w="4534" w:type="dxa"/>
            <w:tcBorders/>
            <w:shd w:color="auto" w:fill="auto" w:val="clea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rFonts w:ascii="Arial" w:hAnsi="Arial"/>
                <w:sz w:val="16"/>
                <w:szCs w:val="16"/>
              </w:rPr>
              <w:t>Per il Titolare</w:t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16"/>
                <w:szCs w:val="16"/>
                <w:lang w:val="it-IT" w:eastAsia="zh-CN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16"/>
                <w:szCs w:val="16"/>
                <w:lang w:val="it-IT" w:eastAsia="zh-CN" w:bidi="ar-SA"/>
              </w:rPr>
              <w:t>Il Comandante della Polizia Locale di Bisceglie</w:t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16"/>
                <w:szCs w:val="16"/>
                <w:lang w:val="it-IT" w:eastAsia="zh-CN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position w:val="0"/>
                <w:sz w:val="16"/>
                <w:sz w:val="16"/>
                <w:szCs w:val="16"/>
                <w:vertAlign w:val="baseline"/>
                <w:lang w:val="it-IT" w:eastAsia="zh-CN" w:bidi="ar-SA"/>
              </w:rPr>
              <w:t>Dott. Michele Dell’Olio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16"/>
                <w:szCs w:val="16"/>
                <w:vertAlign w:val="superscript"/>
                <w:lang w:val="it-IT" w:eastAsia="zh-CN" w:bidi="ar-SA"/>
              </w:rPr>
              <w:t xml:space="preserve"> (*)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/>
          <w:i/>
          <w:iCs/>
          <w:color w:val="auto"/>
          <w:sz w:val="12"/>
          <w:szCs w:val="12"/>
          <w:lang w:val="it-IT" w:eastAsia="zh-CN" w:bidi="ar-SA"/>
        </w:rPr>
        <w:t xml:space="preserve">(*) In conformità a quanto previsto dall’art. 6, comma 1, punto g del Regolamento per la protezione dei dati personali </w:t>
      </w:r>
      <w:r>
        <w:rPr>
          <w:rFonts w:eastAsia="Times New Roman" w:cs="Times New Roman"/>
          <w:i/>
          <w:iCs/>
          <w:color w:val="auto"/>
          <w:kern w:val="0"/>
          <w:sz w:val="12"/>
          <w:szCs w:val="12"/>
          <w:lang w:val="it-IT" w:eastAsia="zh-CN" w:bidi="ar-SA"/>
        </w:rPr>
        <w:t>del Comune</w:t>
      </w:r>
      <w:r>
        <w:rPr>
          <w:rFonts w:eastAsia="Times New Roman" w:cs="Times New Roman"/>
          <w:i/>
          <w:iCs/>
          <w:color w:val="auto"/>
          <w:sz w:val="12"/>
          <w:szCs w:val="12"/>
          <w:lang w:val="it-IT" w:eastAsia="zh-CN" w:bidi="ar-SA"/>
        </w:rPr>
        <w:t xml:space="preserve"> di Bisceglie  approvato con deliberazione della Giunta Comunale n. 65 del </w:t>
      </w:r>
      <w:r>
        <w:rPr>
          <w:rFonts w:eastAsia="Times New Roman" w:cs="Times New Roman"/>
          <w:i/>
          <w:iCs/>
          <w:color w:val="auto"/>
          <w:kern w:val="0"/>
          <w:sz w:val="12"/>
          <w:szCs w:val="12"/>
          <w:lang w:val="it-IT" w:eastAsia="zh-CN" w:bidi="ar-SA"/>
        </w:rPr>
        <w:t>28.2.2023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510" w:right="510" w:gutter="0" w:header="113" w:top="737" w:footer="0" w:bottom="11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ntique Olive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772" w:type="dxa"/>
      <w:jc w:val="left"/>
      <w:tblInd w:w="-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noHBand="0" w:noVBand="1" w:firstColumn="1" w:lastRow="0" w:lastColumn="0" w:firstRow="1"/>
    </w:tblPr>
    <w:tblGrid>
      <w:gridCol w:w="5388"/>
      <w:gridCol w:w="5383"/>
    </w:tblGrid>
    <w:tr>
      <w:trPr/>
      <w:tc>
        <w:tcPr>
          <w:tcW w:w="5388" w:type="dxa"/>
          <w:tcBorders/>
          <w:shd w:color="auto" w:fill="auto" w:val="clear"/>
        </w:tcPr>
        <w:p>
          <w:pPr>
            <w:pStyle w:val="Contenutotabella"/>
            <w:widowControl w:val="false"/>
            <w:rPr/>
          </w:pPr>
          <w:r>
            <w:rPr/>
            <w:drawing>
              <wp:inline distT="0" distB="0" distL="0" distR="0">
                <wp:extent cx="731520" cy="890270"/>
                <wp:effectExtent l="0" t="0" r="0" b="0"/>
                <wp:docPr id="1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7" t="-176" r="-187" b="-1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90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3" w:type="dxa"/>
          <w:tcBorders/>
          <w:shd w:color="auto" w:fill="auto" w:val="clear"/>
        </w:tcPr>
        <w:p>
          <w:pPr>
            <w:pStyle w:val="Normal"/>
            <w:widowControl w:val="false"/>
            <w:spacing w:lineRule="auto" w:line="276"/>
            <w:jc w:val="right"/>
            <w:rPr/>
          </w:pPr>
          <w:r>
            <w:rPr>
              <w:rFonts w:cs="Liberation Serif;Times New Roman"/>
              <w:b/>
              <w:bCs/>
              <w:i/>
              <w:color w:val="221F1F"/>
              <w:sz w:val="20"/>
              <w:szCs w:val="20"/>
              <w:highlight w:val="white"/>
              <w:lang w:eastAsia="zh-CN" w:bidi="hi-IN"/>
            </w:rPr>
            <w:t>INFORMATIVA</w:t>
          </w:r>
        </w:p>
        <w:p>
          <w:pPr>
            <w:pStyle w:val="Normal"/>
            <w:widowControl w:val="false"/>
            <w:spacing w:lineRule="auto" w:line="276"/>
            <w:jc w:val="right"/>
            <w:rPr/>
          </w:pPr>
          <w:r>
            <w:rPr>
              <w:rFonts w:cs="Liberation Serif;Times New Roman"/>
              <w:i/>
              <w:iCs/>
              <w:color w:val="221F1F"/>
              <w:sz w:val="20"/>
              <w:szCs w:val="20"/>
              <w:shd w:fill="FFFFFF" w:val="clear"/>
              <w:lang w:eastAsia="zh-CN" w:bidi="hi-IN"/>
            </w:rPr>
            <w:t xml:space="preserve">ai sensi </w:t>
          </w:r>
          <w:r>
            <w:rPr>
              <w:rFonts w:eastAsia="Times New Roman" w:cs="Liberation Serif;Times New Roman"/>
              <w:i/>
              <w:iCs/>
              <w:color w:val="221F1F"/>
              <w:sz w:val="20"/>
              <w:szCs w:val="20"/>
              <w:shd w:fill="FFFFFF" w:val="clear"/>
              <w:lang w:val="it-IT" w:eastAsia="zh-CN" w:bidi="hi-IN"/>
            </w:rPr>
            <w:t xml:space="preserve">dell’articolo 13 </w:t>
          </w:r>
          <w:r>
            <w:rPr>
              <w:rFonts w:cs="Liberation Serif;Times New Roman"/>
              <w:i/>
              <w:iCs/>
              <w:color w:val="221F1F"/>
              <w:sz w:val="20"/>
              <w:szCs w:val="20"/>
              <w:shd w:fill="FFFFFF" w:val="clear"/>
              <w:lang w:eastAsia="zh-CN" w:bidi="hi-IN"/>
            </w:rPr>
            <w:t>del Regolamento UE n. 2016/679</w:t>
          </w:r>
        </w:p>
        <w:p>
          <w:pPr>
            <w:pStyle w:val="Normal"/>
            <w:widowControl w:val="false"/>
            <w:spacing w:lineRule="auto" w:line="276"/>
            <w:jc w:val="right"/>
            <w:rPr>
              <w:rFonts w:ascii="Liberation Serif" w:hAnsi="Liberation Serif" w:eastAsia="Noto Sans CJK SC" w:cs="Liberation Serif;Times New Roman"/>
              <w:color w:val="221F1F"/>
              <w:highlight w:val="white"/>
              <w:lang w:val="it-IT" w:eastAsia="zh-CN" w:bidi="hi-IN"/>
            </w:rPr>
          </w:pPr>
          <w:r>
            <w:rPr>
              <w:rFonts w:eastAsia="Noto Sans CJK SC" w:cs="Liberation Serif;Times New Roman"/>
              <w:i/>
              <w:iCs/>
              <w:color w:val="221F1F"/>
              <w:sz w:val="20"/>
              <w:szCs w:val="20"/>
              <w:shd w:fill="FFFFFF" w:val="clear"/>
              <w:lang w:val="it-IT" w:eastAsia="zh-CN" w:bidi="hi-IN"/>
            </w:rPr>
            <w:t>ACCESSO E TRANSITO ZTL</w:t>
          </w:r>
        </w:p>
        <w:p>
          <w:pPr>
            <w:pStyle w:val="Normal"/>
            <w:widowControl w:val="false"/>
            <w:spacing w:lineRule="auto" w:line="276"/>
            <w:jc w:val="right"/>
            <w:rPr>
              <w:rFonts w:ascii="Times New Roman" w:hAnsi="Times New Roman" w:eastAsia="Times New Roman" w:cs="Liberation Serif;Times New Roman"/>
              <w:i/>
              <w:i/>
              <w:iCs/>
              <w:color w:val="221F1F"/>
              <w:sz w:val="20"/>
              <w:szCs w:val="20"/>
              <w:shd w:fill="FFFFFF" w:val="clear"/>
              <w:lang w:val="it-IT" w:eastAsia="zh-CN" w:bidi="hi-IN"/>
            </w:rPr>
          </w:pPr>
          <w:r>
            <w:rPr>
              <w:rFonts w:eastAsia="Times New Roman" w:cs="Liberation Serif;Times New Roman"/>
              <w:i/>
              <w:iCs/>
              <w:color w:val="221F1F"/>
              <w:sz w:val="20"/>
              <w:szCs w:val="20"/>
              <w:shd w:fill="FFFFFF" w:val="clear"/>
              <w:lang w:val="it-IT" w:eastAsia="zh-CN" w:bidi="hi-IN"/>
            </w:rPr>
          </w:r>
        </w:p>
      </w:tc>
    </w:tr>
  </w:tbl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772" w:type="dxa"/>
      <w:jc w:val="left"/>
      <w:tblInd w:w="-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noHBand="0" w:noVBand="1" w:firstColumn="1" w:lastRow="0" w:lastColumn="0" w:firstRow="1"/>
    </w:tblPr>
    <w:tblGrid>
      <w:gridCol w:w="5388"/>
      <w:gridCol w:w="5383"/>
    </w:tblGrid>
    <w:tr>
      <w:trPr/>
      <w:tc>
        <w:tcPr>
          <w:tcW w:w="5388" w:type="dxa"/>
          <w:tcBorders/>
          <w:shd w:color="auto" w:fill="auto" w:val="clear"/>
        </w:tcPr>
        <w:p>
          <w:pPr>
            <w:pStyle w:val="Contenutotabella"/>
            <w:widowControl w:val="false"/>
            <w:rPr/>
          </w:pPr>
          <w:r>
            <w:rPr/>
            <w:drawing>
              <wp:inline distT="0" distB="0" distL="0" distR="0">
                <wp:extent cx="731520" cy="890270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7" t="-176" r="-187" b="-1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90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3" w:type="dxa"/>
          <w:tcBorders/>
          <w:shd w:color="auto" w:fill="auto" w:val="clear"/>
        </w:tcPr>
        <w:p>
          <w:pPr>
            <w:pStyle w:val="Normal"/>
            <w:widowControl w:val="false"/>
            <w:spacing w:lineRule="auto" w:line="276"/>
            <w:jc w:val="right"/>
            <w:rPr/>
          </w:pPr>
          <w:r>
            <w:rPr>
              <w:rFonts w:cs="Liberation Serif;Times New Roman"/>
              <w:b/>
              <w:bCs/>
              <w:i/>
              <w:color w:val="221F1F"/>
              <w:sz w:val="20"/>
              <w:szCs w:val="20"/>
              <w:highlight w:val="white"/>
              <w:lang w:eastAsia="zh-CN" w:bidi="hi-IN"/>
            </w:rPr>
            <w:t>INFORMATIVA</w:t>
          </w:r>
        </w:p>
        <w:p>
          <w:pPr>
            <w:pStyle w:val="Normal"/>
            <w:widowControl w:val="false"/>
            <w:spacing w:lineRule="auto" w:line="276"/>
            <w:jc w:val="right"/>
            <w:rPr/>
          </w:pPr>
          <w:r>
            <w:rPr>
              <w:rFonts w:cs="Liberation Serif;Times New Roman"/>
              <w:i/>
              <w:iCs/>
              <w:color w:val="221F1F"/>
              <w:sz w:val="20"/>
              <w:szCs w:val="20"/>
              <w:shd w:fill="FFFFFF" w:val="clear"/>
              <w:lang w:eastAsia="zh-CN" w:bidi="hi-IN"/>
            </w:rPr>
            <w:t xml:space="preserve">ai sensi </w:t>
          </w:r>
          <w:r>
            <w:rPr>
              <w:rFonts w:eastAsia="Times New Roman" w:cs="Liberation Serif;Times New Roman"/>
              <w:i/>
              <w:iCs/>
              <w:color w:val="221F1F"/>
              <w:sz w:val="20"/>
              <w:szCs w:val="20"/>
              <w:shd w:fill="FFFFFF" w:val="clear"/>
              <w:lang w:val="it-IT" w:eastAsia="zh-CN" w:bidi="hi-IN"/>
            </w:rPr>
            <w:t xml:space="preserve">dell’articolo 13 </w:t>
          </w:r>
          <w:r>
            <w:rPr>
              <w:rFonts w:cs="Liberation Serif;Times New Roman"/>
              <w:i/>
              <w:iCs/>
              <w:color w:val="221F1F"/>
              <w:sz w:val="20"/>
              <w:szCs w:val="20"/>
              <w:shd w:fill="FFFFFF" w:val="clear"/>
              <w:lang w:eastAsia="zh-CN" w:bidi="hi-IN"/>
            </w:rPr>
            <w:t>del Regolamento UE n. 2016/679</w:t>
          </w:r>
        </w:p>
        <w:p>
          <w:pPr>
            <w:pStyle w:val="Normal"/>
            <w:widowControl w:val="false"/>
            <w:spacing w:lineRule="auto" w:line="276"/>
            <w:jc w:val="right"/>
            <w:rPr>
              <w:rFonts w:ascii="Liberation Serif" w:hAnsi="Liberation Serif" w:eastAsia="Noto Sans CJK SC" w:cs="Liberation Serif;Times New Roman"/>
              <w:color w:val="221F1F"/>
              <w:highlight w:val="white"/>
              <w:lang w:val="it-IT" w:eastAsia="zh-CN" w:bidi="hi-IN"/>
            </w:rPr>
          </w:pPr>
          <w:r>
            <w:rPr>
              <w:rFonts w:eastAsia="Noto Sans CJK SC" w:cs="Liberation Serif;Times New Roman"/>
              <w:i/>
              <w:iCs/>
              <w:color w:val="221F1F"/>
              <w:sz w:val="20"/>
              <w:szCs w:val="20"/>
              <w:shd w:fill="FFFFFF" w:val="clear"/>
              <w:lang w:val="it-IT" w:eastAsia="zh-CN" w:bidi="hi-IN"/>
            </w:rPr>
            <w:t>ACCESSO E TRANSITO ZTL</w:t>
          </w:r>
        </w:p>
        <w:p>
          <w:pPr>
            <w:pStyle w:val="Normal"/>
            <w:widowControl w:val="false"/>
            <w:spacing w:lineRule="auto" w:line="276"/>
            <w:jc w:val="right"/>
            <w:rPr>
              <w:rFonts w:ascii="Times New Roman" w:hAnsi="Times New Roman" w:eastAsia="Times New Roman" w:cs="Liberation Serif;Times New Roman"/>
              <w:i/>
              <w:i/>
              <w:iCs/>
              <w:color w:val="221F1F"/>
              <w:sz w:val="20"/>
              <w:szCs w:val="20"/>
              <w:shd w:fill="FFFFFF" w:val="clear"/>
              <w:lang w:val="it-IT" w:eastAsia="zh-CN" w:bidi="hi-IN"/>
            </w:rPr>
          </w:pPr>
          <w:r>
            <w:rPr>
              <w:rFonts w:eastAsia="Times New Roman" w:cs="Liberation Serif;Times New Roman"/>
              <w:i/>
              <w:iCs/>
              <w:color w:val="221F1F"/>
              <w:sz w:val="20"/>
              <w:szCs w:val="20"/>
              <w:shd w:fill="FFFFFF" w:val="clear"/>
              <w:lang w:val="it-IT" w:eastAsia="zh-CN" w:bidi="hi-IN"/>
            </w:rPr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bestFit" w:percent="222"/>
  <w:defaultTabStop w:val="4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408"/>
        <w:tab w:val="left" w:pos="2340" w:leader="none"/>
      </w:tabs>
      <w:jc w:val="both"/>
      <w:outlineLvl w:val="1"/>
    </w:pPr>
    <w:rPr>
      <w:rFonts w:ascii="Antique Olive" w:hAnsi="Antique Olive" w:cs="Antique Olive"/>
      <w:b/>
      <w:sz w:val="28"/>
      <w:szCs w:val="20"/>
    </w:rPr>
  </w:style>
  <w:style w:type="paragraph" w:styleId="Heading3">
    <w:name w:val="Heading 3"/>
    <w:basedOn w:val="Normal"/>
    <w:qFormat/>
    <w:pPr>
      <w:keepNext w:val="true"/>
      <w:numPr>
        <w:ilvl w:val="2"/>
        <w:numId w:val="1"/>
      </w:numPr>
      <w:tabs>
        <w:tab w:val="clear" w:pos="408"/>
        <w:tab w:val="left" w:pos="2340" w:leader="none"/>
      </w:tabs>
      <w:outlineLvl w:val="2"/>
    </w:pPr>
    <w:rPr>
      <w:rFonts w:eastAsia="Arial Unicode MS"/>
      <w:b/>
      <w:szCs w:val="2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Courier New" w:hAnsi="Courier New" w:cs="Courier New"/>
      <w:sz w:val="22"/>
      <w:szCs w:val="22"/>
    </w:rPr>
  </w:style>
  <w:style w:type="character" w:styleId="WW8Num3z0" w:customStyle="1">
    <w:name w:val="WW8Num3z0"/>
    <w:qFormat/>
    <w:rPr>
      <w:rFonts w:ascii="Wingdings" w:hAnsi="Wingdings" w:eastAsia="Arial Unicode MS" w:cs="Wingdings"/>
      <w:sz w:val="22"/>
      <w:szCs w:val="22"/>
    </w:rPr>
  </w:style>
  <w:style w:type="character" w:styleId="WW8Num4z0" w:customStyle="1">
    <w:name w:val="WW8Num4z0"/>
    <w:qFormat/>
    <w:rPr>
      <w:rFonts w:ascii="Tahoma" w:hAnsi="Tahoma" w:cs="Tahoma"/>
      <w:sz w:val="15"/>
      <w:szCs w:val="15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Tahoma" w:hAnsi="Tahoma" w:cs="Tahoma"/>
      <w:sz w:val="20"/>
      <w:szCs w:val="20"/>
    </w:rPr>
  </w:style>
  <w:style w:type="character" w:styleId="WW8Num6z0" w:customStyle="1">
    <w:name w:val="WW8Num6z0"/>
    <w:qFormat/>
    <w:rPr>
      <w:rFonts w:ascii="Tahoma" w:hAnsi="Tahoma" w:cs="Tahoma"/>
      <w:sz w:val="20"/>
      <w:szCs w:val="20"/>
    </w:rPr>
  </w:style>
  <w:style w:type="character" w:styleId="WW8Num7z0" w:customStyle="1">
    <w:name w:val="WW8Num7z0"/>
    <w:qFormat/>
    <w:rPr>
      <w:rFonts w:ascii="Tahoma" w:hAnsi="Tahoma" w:cs="Tahoma"/>
      <w:sz w:val="20"/>
      <w:szCs w:val="20"/>
    </w:rPr>
  </w:style>
  <w:style w:type="character" w:styleId="WW8Num5z1" w:customStyle="1">
    <w:name w:val="WW8Num5z1"/>
    <w:qFormat/>
    <w:rPr>
      <w:rFonts w:ascii="OpenSymbol;Arial Unicode MS" w:hAnsi="OpenSymbol;Arial Unicode MS" w:cs="OpenSymbol;Arial Unicode MS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Wingdings" w:hAnsi="Wingdings" w:eastAsia="Arial Unicode MS" w:cs="Wingdings"/>
      <w:sz w:val="22"/>
      <w:szCs w:val="22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Times New Roman" w:hAnsi="Times New Roman" w:cs="Times New Roman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4z0" w:customStyle="1">
    <w:name w:val="WW8Num14z0"/>
    <w:qFormat/>
    <w:rPr>
      <w:rFonts w:ascii="Courier New" w:hAnsi="Courier New" w:cs="Courier New"/>
      <w:sz w:val="32"/>
      <w:szCs w:val="32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CorpodeltestoCarattere" w:customStyle="1">
    <w:name w:val="Corpo del testo Carattere"/>
    <w:basedOn w:val="DefaultParagraphFont"/>
    <w:qFormat/>
    <w:rPr/>
  </w:style>
  <w:style w:type="character" w:styleId="Titolo2Carattere" w:customStyle="1">
    <w:name w:val="Titolo 2 Carattere"/>
    <w:qFormat/>
    <w:rPr>
      <w:rFonts w:ascii="Antique Olive" w:hAnsi="Antique Olive" w:cs="Antique Olive"/>
      <w:b/>
      <w:sz w:val="28"/>
    </w:rPr>
  </w:style>
  <w:style w:type="character" w:styleId="Titolo3Carattere" w:customStyle="1">
    <w:name w:val="Titolo 3 Carattere"/>
    <w:qFormat/>
    <w:rPr>
      <w:rFonts w:eastAsia="Arial Unicode MS"/>
      <w:b/>
      <w:sz w:val="24"/>
    </w:rPr>
  </w:style>
  <w:style w:type="character" w:styleId="TestonotaapidipaginaCarattere" w:customStyle="1">
    <w:name w:val="Testo nota a piè di pagina Carattere"/>
    <w:basedOn w:val="DefaultParagraphFont"/>
    <w:qFormat/>
    <w:rPr/>
  </w:style>
  <w:style w:type="character" w:styleId="Caratterenotaapidipagina" w:customStyle="1">
    <w:name w:val="Carattere nota a piè di pagina"/>
    <w:qFormat/>
    <w:rPr>
      <w:vertAlign w:val="superscript"/>
    </w:rPr>
  </w:style>
  <w:style w:type="character" w:styleId="WW8Num6z1" w:customStyle="1">
    <w:name w:val="WW8Num6z1"/>
    <w:qFormat/>
    <w:rPr>
      <w:rFonts w:ascii="OpenSymbol;Arial Unicode MS" w:hAnsi="OpenSymbol;Arial Unicode MS" w:cs="OpenSymbol;Arial Unicode MS"/>
    </w:rPr>
  </w:style>
  <w:style w:type="character" w:styleId="Caratteredinumerazione" w:customStyle="1">
    <w:name w:val="Carattere di numerazione"/>
    <w:qFormat/>
    <w:rPr>
      <w:rFonts w:ascii="Tahoma" w:hAnsi="Tahoma" w:cs="Tahoma"/>
      <w:sz w:val="20"/>
      <w:szCs w:val="20"/>
    </w:rPr>
  </w:style>
  <w:style w:type="character" w:styleId="Punti" w:customStyle="1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Caratteridinumerazione" w:customStyle="1">
    <w:name w:val="Caratteri di numerazione"/>
    <w:qFormat/>
    <w:rPr/>
  </w:style>
  <w:style w:type="character" w:styleId="CollegamentoInternet">
    <w:name w:val="Collegamento Internet"/>
    <w:qFormat/>
    <w:rPr>
      <w:color w:val="000080"/>
      <w:u w:val="single"/>
    </w:rPr>
  </w:style>
  <w:style w:type="character" w:styleId="PidipaginaCarattere" w:customStyle="1">
    <w:name w:val="Piè di pagina Carattere"/>
    <w:basedOn w:val="DefaultParagraphFont"/>
    <w:uiPriority w:val="99"/>
    <w:qFormat/>
    <w:rPr>
      <w:rFonts w:ascii="Times New Roman" w:hAnsi="Times New Roman" w:eastAsia="Times New Roman" w:cs="Times New Roman"/>
      <w:sz w:val="24"/>
      <w:lang w:bidi="ar-SA"/>
    </w:rPr>
  </w:style>
  <w:style w:type="character" w:styleId="Enfasi">
    <w:name w:val="Enfasi"/>
    <w:basedOn w:val="DefaultParagraphFont"/>
    <w:uiPriority w:val="20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character" w:styleId="Quotation">
    <w:name w:val="Quotation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 PL UMing CN" w:cs="FreeSan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0"/>
      <w:szCs w:val="20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0"/>
      <w:sz w:val="20"/>
      <w:szCs w:val="24"/>
      <w:lang w:val="it-IT" w:eastAsia="zh-CN" w:bidi="hi-IN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1">
    <w:name w:val="index heading1"/>
    <w:basedOn w:val="Heading"/>
    <w:qFormat/>
    <w:pPr/>
    <w:rPr/>
  </w:style>
  <w:style w:type="paragraph" w:styleId="IndexHeading">
    <w:name w:val="Index Heading"/>
    <w:basedOn w:val="Heading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0"/>
      <w:sz w:val="20"/>
      <w:szCs w:val="24"/>
      <w:lang w:val="it-IT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Titolo" w:customStyle="1">
    <w:name w:val="Titolo"/>
    <w:basedOn w:val="Normal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TMLPreformatted">
    <w:name w:val="HTML Preformatted"/>
    <w:basedOn w:val="Normal"/>
    <w:qFormat/>
    <w:pPr>
      <w:tabs>
        <w:tab w:val="clear" w:pos="4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qFormat/>
    <w:pPr>
      <w:suppressLineNumbers/>
      <w:spacing w:before="0" w:after="283"/>
    </w:pPr>
    <w:rPr>
      <w:sz w:val="12"/>
      <w:szCs w:val="12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408"/>
        <w:tab w:val="center" w:pos="5443" w:leader="none"/>
        <w:tab w:val="right" w:pos="10886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408"/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9" w:customStyle="1">
    <w:name w:val="WW8Num9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LibreOffice/7.6.4.1$Linux_X86_64 LibreOffice_project/e19e193f88cd6c0525a17fb7a176ed8e6a3e2aa1</Application>
  <AppVersion>15.0000</AppVersion>
  <Pages>1</Pages>
  <Words>630</Words>
  <Characters>3822</Characters>
  <CharactersWithSpaces>4400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2019-06-21T09:45:00Z</dcterms:created>
  <dc:creator>palli</dc:creator>
  <dc:description/>
  <dc:language>it-IT</dc:language>
  <cp:lastModifiedBy/>
  <dcterms:modified xsi:type="dcterms:W3CDTF">2024-06-05T19:14:28Z</dcterms:modified>
  <cp:revision>49</cp:revision>
  <dc:subject/>
  <dc:title>DICHIARAZIONE SOSTITUTIVA DELL’ATTO DI NOTORIETA’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